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2021年度企业开发项目明细表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单位名称：</w:t>
      </w:r>
    </w:p>
    <w:tbl>
      <w:tblPr>
        <w:tblStyle w:val="4"/>
        <w:tblW w:w="14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50"/>
        <w:gridCol w:w="1020"/>
        <w:gridCol w:w="1020"/>
        <w:gridCol w:w="1100"/>
        <w:gridCol w:w="946"/>
        <w:gridCol w:w="947"/>
        <w:gridCol w:w="939"/>
        <w:gridCol w:w="963"/>
        <w:gridCol w:w="1044"/>
        <w:gridCol w:w="1260"/>
        <w:gridCol w:w="1106"/>
        <w:gridCol w:w="137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08" w:hRule="atLeast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城市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股权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比例（%）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规划总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建筑面积（万平方米）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施工面积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（万平方米）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装配式比例（%）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成品房比例（%）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绿色建筑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获得“广厦奖”评选或候选项目奖项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4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上年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结转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当年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新开工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竣工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963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Merge w:val="continue"/>
            <w:tcBorders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tcBorders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上年结转：指同一项目在2018年1月1日—2020年12月31日之间领取施工许可证未办理竣工验收备案的项目面积。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填表承诺：本公司承诺所填开发项目明细表数据真实，愿意承担上报虚假数据造成的所有后果。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                    企业盖章</w:t>
      </w:r>
    </w:p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                    日    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7B6C"/>
    <w:rsid w:val="1E4531E0"/>
    <w:rsid w:val="204B73B4"/>
    <w:rsid w:val="246804EE"/>
    <w:rsid w:val="56AB0D99"/>
    <w:rsid w:val="578F06BB"/>
    <w:rsid w:val="772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永中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"/>
    <w:basedOn w:val="1"/>
    <w:qFormat/>
    <w:uiPriority w:val="0"/>
    <w:pPr>
      <w:widowControl w:val="0"/>
    </w:pPr>
    <w:rPr>
      <w:rFonts w:ascii="宋体" w:hAnsi="宋体" w:eastAsia="宋体" w:cs="Courier New"/>
      <w:color w:val="auto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2022-03-02T01:49:00Z</dcterms:created>
  <dc:creator>大海之心</dc:creator>
  <cp:lastModifiedBy>大海之心</cp:lastModifiedBy>
  <dcterms:modified xsi:type="dcterms:W3CDTF">2022-03-02T02:02:22Z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C99AF45754624EA28B39AB020A60E6C0</vt:lpwstr>
  </property>
</Properties>
</file>